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tLeast" w:line="315" w:before="0" w:after="0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color w:val="2D2D2D"/>
          <w:spacing w:val="2"/>
          <w:sz w:val="28"/>
          <w:szCs w:val="28"/>
          <w:shd w:fill="FFFFFF" w:val="clear"/>
        </w:rPr>
        <w:t xml:space="preserve">                    </w:t>
      </w: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 xml:space="preserve">                                       </w:t>
      </w: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>Приложение 1</w:t>
      </w:r>
      <w:bookmarkStart w:id="0" w:name="_GoBack"/>
      <w:bookmarkEnd w:id="0"/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spacing w:val="2"/>
          <w:sz w:val="28"/>
          <w:szCs w:val="28"/>
        </w:rPr>
        <w:t xml:space="preserve">                                       </w:t>
      </w: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 xml:space="preserve">к государственной программе </w:t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 xml:space="preserve">                                          </w:t>
      </w: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 xml:space="preserve">"Социальная и демографическая </w:t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 xml:space="preserve">                                     </w:t>
      </w: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>политика Брянской области»</w:t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cs="Times New Roman"/>
          <w:spacing w:val="2"/>
          <w:sz w:val="28"/>
          <w:szCs w:val="28"/>
          <w:shd w:fill="FFFFFF" w:val="clear"/>
        </w:rPr>
      </w:pPr>
      <w:r>
        <w:rPr>
          <w:rFonts w:eastAsia="" w:cs="Times New Roman" w:ascii="Times New Roman" w:hAnsi="Times New Roman" w:eastAsiaTheme="minorEastAsia"/>
          <w:bCs/>
          <w:sz w:val="28"/>
          <w:szCs w:val="28"/>
          <w:lang w:eastAsia="ru-RU"/>
        </w:rPr>
        <w:t xml:space="preserve">Методика расчета целевых показателей (индикаторов) государственной программы </w:t>
      </w: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>"Социальная и демографическая политика Брянской области»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cs="Times New Roman"/>
          <w:spacing w:val="2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8"/>
          <w:szCs w:val="28"/>
          <w:lang w:eastAsia="ru-RU"/>
        </w:rPr>
      </w:pPr>
      <w:r>
        <w:rPr>
          <w:rFonts w:eastAsia="" w:cs="Times New Roman CYR" w:ascii="Times New Roman CYR" w:hAnsi="Times New Roman CYR" w:eastAsiaTheme="minorEastAsia"/>
          <w:sz w:val="28"/>
          <w:szCs w:val="28"/>
          <w:lang w:eastAsia="ru-RU"/>
        </w:rPr>
        <w:t>Показатели (индикаторы) государственной программы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tLeast" w:line="315" w:before="0" w:after="0"/>
        <w:ind w:left="0" w:hanging="11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Доля государственных услуг, оказываемых полностью или частично в электронном виде, в общем количестве оказываемых государственных услуг (Gд) определяется следующим образом: </w:t>
      </w:r>
    </w:p>
    <w:p>
      <w:pPr>
        <w:pStyle w:val="ListParagraph"/>
        <w:shd w:val="clear" w:color="auto" w:fill="FFFFFF"/>
        <w:spacing w:lineRule="atLeast" w:line="315" w:before="0" w:after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3620" w:type="dxa"/>
        <w:jc w:val="left"/>
        <w:tblInd w:w="24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1698"/>
        <w:gridCol w:w="962"/>
      </w:tblGrid>
      <w:tr>
        <w:trPr>
          <w:trHeight w:val="300" w:hRule="atLeast"/>
        </w:trPr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Gд =</w:t>
            </w:r>
          </w:p>
        </w:tc>
        <w:tc>
          <w:tcPr>
            <w:tcW w:w="169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Gi * 100%</w:t>
            </w:r>
          </w:p>
        </w:tc>
        <w:tc>
          <w:tcPr>
            <w:tcW w:w="96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где:</w:t>
            </w:r>
          </w:p>
        </w:tc>
      </w:tr>
      <w:tr>
        <w:trPr>
          <w:trHeight w:val="300" w:hRule="atLeast"/>
        </w:trPr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69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Go</w:t>
            </w:r>
          </w:p>
        </w:tc>
        <w:tc>
          <w:tcPr>
            <w:tcW w:w="9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Gi - количество услуг, оказываемых полностью или частично в электронном виде (источником информации является реестр государственных и муниципальных услуг, размещенный на портале государственных услуг);</w:t>
        <w:br/>
        <w:br/>
        <w:t>Gо - общее количество оказываемых государственных услуг (источником информации является реестр государственных и муниципальных услуг, размещенный на портале государственных услуг).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2. Количество зарегистрированных актов гражданского состояния. Источником информации для определения значения индикатора является форма статистической отчетности N 26, утвержденная </w:t>
      </w:r>
      <w:hyperlink r:id="rId2">
        <w:r>
          <w:rPr>
            <w:rFonts w:eastAsia="Times New Roman" w:cs="Times New Roman" w:ascii="Times New Roman" w:hAnsi="Times New Roman"/>
            <w:spacing w:val="2"/>
            <w:sz w:val="28"/>
            <w:szCs w:val="28"/>
            <w:lang w:eastAsia="ru-RU"/>
          </w:rPr>
          <w:t>Приказом Министерства юстиции Российской Федерации от 28 августа 2008 года N 189 "Об утверждении форм статистической отчетности Министерства юстиции Российской Федерации о государственной регистрации актов гражданского состояния"</w:t>
        </w:r>
      </w:hyperlink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3. Количество учреждений социального обслуживания населения, в том числе стационарного типа, в которых проводится капитальный ремонт. Источником информации для определения значения индикатора является отчет об использовании субсидии бюджетных средств плана финансово-хозяйственной деятельности.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4. Соотношение среднемесячной начисленной заработной платы социальных работников государственных учреждений социального обслуживания населения к среднемесячной начисленной заработной плате наемных работников в организациях, у индивидуальных предпринимателей и физических лиц (среднемесячный доход от трудовой деятельности) в регионе определяется следующим образом: </w:t>
      </w:r>
    </w:p>
    <w:tbl>
      <w:tblPr>
        <w:tblW w:w="3620" w:type="dxa"/>
        <w:jc w:val="left"/>
        <w:tblInd w:w="24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1698"/>
        <w:gridCol w:w="962"/>
      </w:tblGrid>
      <w:tr>
        <w:trPr>
          <w:trHeight w:val="300" w:hRule="atLeast"/>
        </w:trPr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Зср =</w:t>
            </w:r>
          </w:p>
        </w:tc>
        <w:tc>
          <w:tcPr>
            <w:tcW w:w="169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Зпс * 100%</w:t>
            </w:r>
          </w:p>
        </w:tc>
        <w:tc>
          <w:tcPr>
            <w:tcW w:w="96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где:</w:t>
            </w:r>
          </w:p>
        </w:tc>
      </w:tr>
      <w:tr>
        <w:trPr>
          <w:trHeight w:val="300" w:hRule="atLeast"/>
        </w:trPr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69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Зпэ</w:t>
            </w:r>
          </w:p>
        </w:tc>
        <w:tc>
          <w:tcPr>
            <w:tcW w:w="9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Зпс - среднемесячная номинальная начисленная заработная плата социальных работников государственных учреждений социальной защиты населения (источником информации являются данные, предоставляемые департаментом экономического развития Брянской области);</w:t>
        <w:br/>
        <w:br/>
        <w:t>Зпэ - 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 в регионе (источником информации является отчет "ЗП-соц" департамента семьи, социальной и демографической политики Брянской области).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br/>
        <w:t>Численность лиц, находящихся в стационарных учреждениях социального обслуживания населения, приходящихся на 1 работника государственных учреждений социального обслуживания населения, в том числе: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8"/>
          <w:szCs w:val="28"/>
          <w:lang w:eastAsia="ru-RU"/>
        </w:rPr>
      </w:pPr>
      <w:r>
        <w:rPr>
          <w:rFonts w:eastAsia="" w:cs="Times New Roman CYR" w:ascii="Times New Roman CYR" w:hAnsi="Times New Roman CYR" w:eastAsiaTheme="minorEastAsia"/>
          <w:sz w:val="28"/>
          <w:szCs w:val="28"/>
          <w:lang w:eastAsia="ru-RU"/>
        </w:rPr>
        <w:t>Показатели (индикаторы) основных мероприятий (проектов)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8"/>
          <w:szCs w:val="28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5. Исполнение публичных нормативных обязательств и социальных выплат перед гражданами в рамках действующего законодательства (Ми) определяется следующим образом: </w:t>
      </w:r>
    </w:p>
    <w:tbl>
      <w:tblPr>
        <w:tblW w:w="3620" w:type="dxa"/>
        <w:jc w:val="left"/>
        <w:tblInd w:w="24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1698"/>
        <w:gridCol w:w="962"/>
      </w:tblGrid>
      <w:tr>
        <w:trPr>
          <w:trHeight w:val="300" w:hRule="atLeast"/>
        </w:trPr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Ми =</w:t>
            </w:r>
          </w:p>
        </w:tc>
        <w:tc>
          <w:tcPr>
            <w:tcW w:w="169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Мф *100%</w:t>
            </w:r>
          </w:p>
        </w:tc>
        <w:tc>
          <w:tcPr>
            <w:tcW w:w="96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69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Мо</w:t>
            </w:r>
          </w:p>
        </w:tc>
        <w:tc>
          <w:tcPr>
            <w:tcW w:w="9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Мо - общее количество граждан, обратившихся и имеющих право на получение выплат по публичным нормативным обязательствам и иным социальным выплатам (источником информации являются отчеты подведомственных учреждений);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br/>
        <w:t>Мф - общее количество граждан, которым выплаты по публичным нормативным обязательствам и иным социальным выплатам назначены в установленный законодательством срок (источником информации являются отчеты подведомственных учреждений).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Docdata"/>
        <w:shd w:val="clear" w:color="auto" w:fill="FFFFFF"/>
        <w:spacing w:beforeAutospacing="0" w:before="0" w:afterAutospacing="0" w:after="0"/>
        <w:ind w:left="20" w:hanging="0"/>
        <w:jc w:val="both"/>
        <w:rPr>
          <w:sz w:val="28"/>
          <w:szCs w:val="28"/>
        </w:rPr>
      </w:pPr>
      <w:r>
        <w:rPr>
          <w:rStyle w:val="1879"/>
          <w:sz w:val="28"/>
          <w:szCs w:val="28"/>
        </w:rPr>
        <w:t>6. Многодетные семьи</w:t>
      </w:r>
      <w:r>
        <w:rPr>
          <w:sz w:val="28"/>
          <w:szCs w:val="28"/>
        </w:rPr>
        <w:t>, имеющие трех и более детей, получат в текущем году  единовременное пособие  многодетной семье при рождении третьего и последующего ребенка.</w:t>
      </w:r>
    </w:p>
    <w:tbl>
      <w:tblPr>
        <w:tblW w:w="3380" w:type="dxa"/>
        <w:jc w:val="left"/>
        <w:tblInd w:w="25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8"/>
        <w:gridCol w:w="1462"/>
        <w:gridCol w:w="960"/>
      </w:tblGrid>
      <w:tr>
        <w:trPr>
          <w:trHeight w:val="300" w:hRule="atLeast"/>
        </w:trPr>
        <w:tc>
          <w:tcPr>
            <w:tcW w:w="958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П=</w:t>
            </w:r>
          </w:p>
        </w:tc>
        <w:tc>
          <w:tcPr>
            <w:tcW w:w="1462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С</w:t>
            </w:r>
          </w:p>
        </w:tc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, где</w:t>
            </w:r>
          </w:p>
        </w:tc>
      </w:tr>
      <w:tr>
        <w:trPr>
          <w:trHeight w:val="300" w:hRule="atLeast"/>
        </w:trPr>
        <w:tc>
          <w:tcPr>
            <w:tcW w:w="95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46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1000</w:t>
            </w:r>
          </w:p>
        </w:tc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</w:tbl>
    <w:p>
      <w:pPr>
        <w:pStyle w:val="Docdata"/>
        <w:shd w:val="clear" w:color="auto" w:fill="FFFFFF"/>
        <w:spacing w:beforeAutospacing="0" w:before="0" w:afterAutospacing="0" w:after="0"/>
        <w:ind w:left="2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 – </w:t>
      </w:r>
      <w:r>
        <w:rPr>
          <w:rStyle w:val="1879"/>
          <w:rFonts w:ascii="Times New Roman" w:hAnsi="Times New Roman"/>
          <w:sz w:val="28"/>
          <w:szCs w:val="28"/>
        </w:rPr>
        <w:t>количество многодетных семей</w:t>
      </w:r>
      <w:r>
        <w:rPr>
          <w:rFonts w:ascii="Times New Roman" w:hAnsi="Times New Roman"/>
          <w:sz w:val="28"/>
          <w:szCs w:val="28"/>
        </w:rPr>
        <w:t>, имеющие трех и более детей, получающих единовременное пособие  многодетной семье при рождении третьего и последующего ребенка</w:t>
      </w:r>
      <w:r>
        <w:rPr>
          <w:sz w:val="28"/>
          <w:szCs w:val="28"/>
        </w:rPr>
        <w:t xml:space="preserve"> в текущем периоде</w:t>
      </w:r>
    </w:p>
    <w:p>
      <w:pPr>
        <w:pStyle w:val="Docdata"/>
        <w:shd w:val="clear" w:color="auto" w:fill="FFFFFF"/>
        <w:spacing w:beforeAutospacing="0" w:before="0" w:afterAutospacing="0" w:after="0"/>
        <w:ind w:left="20" w:hanging="0"/>
        <w:jc w:val="both"/>
        <w:rPr>
          <w:sz w:val="28"/>
          <w:szCs w:val="28"/>
        </w:rPr>
      </w:pPr>
      <w:r>
        <w:rPr>
          <w:rFonts w:eastAsia="Times New Roman"/>
          <w:spacing w:val="2"/>
          <w:sz w:val="28"/>
          <w:szCs w:val="28"/>
        </w:rPr>
        <w:t xml:space="preserve">7. </w:t>
      </w:r>
      <w:r>
        <w:rPr>
          <w:sz w:val="28"/>
          <w:szCs w:val="28"/>
        </w:rPr>
        <w:t>Нуждающиеся семьи получат ежемесячные выплаты в связи с рождением (усыновлением) первого ребенка за счет субвенций из федерального бюджета.</w:t>
      </w:r>
    </w:p>
    <w:tbl>
      <w:tblPr>
        <w:tblW w:w="3380" w:type="dxa"/>
        <w:jc w:val="left"/>
        <w:tblInd w:w="25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8"/>
        <w:gridCol w:w="1462"/>
        <w:gridCol w:w="960"/>
      </w:tblGrid>
      <w:tr>
        <w:trPr>
          <w:trHeight w:val="300" w:hRule="atLeast"/>
        </w:trPr>
        <w:tc>
          <w:tcPr>
            <w:tcW w:w="958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П=</w:t>
            </w:r>
          </w:p>
        </w:tc>
        <w:tc>
          <w:tcPr>
            <w:tcW w:w="1462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С</w:t>
            </w:r>
          </w:p>
        </w:tc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, где</w:t>
            </w:r>
          </w:p>
        </w:tc>
      </w:tr>
      <w:tr>
        <w:trPr>
          <w:trHeight w:val="300" w:hRule="atLeast"/>
        </w:trPr>
        <w:tc>
          <w:tcPr>
            <w:tcW w:w="95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46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1000</w:t>
            </w:r>
          </w:p>
        </w:tc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</w:tbl>
    <w:p>
      <w:pPr>
        <w:pStyle w:val="Docdata"/>
        <w:shd w:val="clear" w:color="auto" w:fill="FFFFFF"/>
        <w:spacing w:beforeAutospacing="0" w:before="0" w:afterAutospacing="0" w:after="0"/>
        <w:ind w:left="20" w:hanging="0"/>
        <w:jc w:val="both"/>
        <w:rPr>
          <w:sz w:val="28"/>
          <w:szCs w:val="28"/>
        </w:rPr>
      </w:pPr>
      <w:r>
        <w:rPr>
          <w:sz w:val="28"/>
          <w:szCs w:val="28"/>
        </w:rPr>
        <w:t>С – количество семей, получающие ежемесячные выплаты в связи с рождением (усыновлением) первого ребенка в текущем периоде.</w:t>
      </w:r>
    </w:p>
    <w:p>
      <w:pPr>
        <w:pStyle w:val="Docdata"/>
        <w:shd w:val="clear" w:color="auto" w:fill="FFFFFF"/>
        <w:spacing w:beforeAutospacing="0" w:before="0" w:afterAutospacing="0" w:after="0"/>
        <w:ind w:left="2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ocdata"/>
        <w:shd w:val="clear" w:color="auto" w:fill="FFFFFF"/>
        <w:spacing w:beforeAutospacing="0" w:before="0" w:afterAutospacing="0" w:after="0"/>
        <w:ind w:left="20" w:hanging="0"/>
        <w:jc w:val="both"/>
        <w:rPr>
          <w:sz w:val="28"/>
          <w:szCs w:val="28"/>
        </w:rPr>
      </w:pPr>
      <w:r>
        <w:rPr>
          <w:sz w:val="28"/>
          <w:szCs w:val="28"/>
        </w:rPr>
        <w:t>8. Семьи с тремя и более детьми получат ежемесячную денежную выплату, назначаемую в случае рождения третьего ребенка или последующих детей до достижения ребенком возраста 3 лет.</w:t>
      </w:r>
    </w:p>
    <w:p>
      <w:pPr>
        <w:pStyle w:val="Docdata"/>
        <w:shd w:val="clear" w:color="auto" w:fill="FFFFFF"/>
        <w:spacing w:beforeAutospacing="0" w:before="0" w:afterAutospacing="0" w:after="0"/>
        <w:ind w:left="2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3380" w:type="dxa"/>
        <w:jc w:val="left"/>
        <w:tblInd w:w="25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8"/>
        <w:gridCol w:w="1462"/>
        <w:gridCol w:w="960"/>
      </w:tblGrid>
      <w:tr>
        <w:trPr>
          <w:trHeight w:val="300" w:hRule="atLeast"/>
        </w:trPr>
        <w:tc>
          <w:tcPr>
            <w:tcW w:w="958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П=</w:t>
            </w:r>
          </w:p>
        </w:tc>
        <w:tc>
          <w:tcPr>
            <w:tcW w:w="1462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С</w:t>
            </w:r>
          </w:p>
        </w:tc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, где</w:t>
            </w:r>
          </w:p>
        </w:tc>
      </w:tr>
      <w:tr>
        <w:trPr>
          <w:trHeight w:val="300" w:hRule="atLeast"/>
        </w:trPr>
        <w:tc>
          <w:tcPr>
            <w:tcW w:w="95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46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1000</w:t>
            </w:r>
          </w:p>
        </w:tc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</w:tbl>
    <w:p>
      <w:pPr>
        <w:pStyle w:val="Docdata"/>
        <w:shd w:val="clear" w:color="auto" w:fill="FFFFFF"/>
        <w:spacing w:beforeAutospacing="0" w:before="0" w:afterAutospacing="0" w:after="0"/>
        <w:ind w:left="2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ocdata"/>
        <w:shd w:val="clear" w:color="auto" w:fill="FFFFFF"/>
        <w:spacing w:beforeAutospacing="0" w:before="0" w:afterAutospacing="0" w:after="0"/>
        <w:ind w:left="20" w:hanging="0"/>
        <w:jc w:val="both"/>
        <w:rPr>
          <w:sz w:val="28"/>
          <w:szCs w:val="28"/>
        </w:rPr>
      </w:pPr>
      <w:r>
        <w:rPr>
          <w:sz w:val="28"/>
          <w:szCs w:val="28"/>
        </w:rPr>
        <w:t>С – количество семей с тремя и более детьми, получающие ежемесячную денежную выплату, назначаемую в случае рождения третьего ребенка или последующих детей до достижения ребенком возраста 3 лет в текущем периоде.</w:t>
      </w:r>
    </w:p>
    <w:p>
      <w:pPr>
        <w:pStyle w:val="Docdata"/>
        <w:shd w:val="clear" w:color="auto" w:fill="FFFFFF"/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ocdata"/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>9. Семьи, имеющие детей получающие дополнительное единовременное пособие при рождении ребенка.</w:t>
      </w:r>
    </w:p>
    <w:p>
      <w:pPr>
        <w:pStyle w:val="Docdata"/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3380" w:type="dxa"/>
        <w:jc w:val="left"/>
        <w:tblInd w:w="25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8"/>
        <w:gridCol w:w="1462"/>
        <w:gridCol w:w="960"/>
      </w:tblGrid>
      <w:tr>
        <w:trPr>
          <w:trHeight w:val="300" w:hRule="atLeast"/>
        </w:trPr>
        <w:tc>
          <w:tcPr>
            <w:tcW w:w="958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П=</w:t>
            </w:r>
          </w:p>
        </w:tc>
        <w:tc>
          <w:tcPr>
            <w:tcW w:w="1462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С</w:t>
            </w:r>
          </w:p>
        </w:tc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, где</w:t>
            </w:r>
          </w:p>
        </w:tc>
      </w:tr>
      <w:tr>
        <w:trPr>
          <w:trHeight w:val="300" w:hRule="atLeast"/>
        </w:trPr>
        <w:tc>
          <w:tcPr>
            <w:tcW w:w="95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46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1000</w:t>
            </w:r>
          </w:p>
        </w:tc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</w:tbl>
    <w:p>
      <w:pPr>
        <w:pStyle w:val="Docdata"/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ocdata"/>
        <w:spacing w:beforeAutospacing="0" w:before="0" w:afterAutospacing="0" w:after="0"/>
        <w:jc w:val="both"/>
        <w:rPr>
          <w:sz w:val="28"/>
          <w:szCs w:val="28"/>
        </w:rPr>
      </w:pPr>
      <w:r>
        <w:rPr>
          <w:rStyle w:val="1879"/>
          <w:sz w:val="28"/>
          <w:szCs w:val="28"/>
        </w:rPr>
        <w:t>С – количество семей,</w:t>
      </w:r>
      <w:r>
        <w:rPr>
          <w:sz w:val="28"/>
          <w:szCs w:val="28"/>
        </w:rPr>
        <w:t xml:space="preserve"> имеющих детей, получающих дополнительное единовременное пособие при рождении ребенка в текущем периоде.</w:t>
      </w:r>
    </w:p>
    <w:p>
      <w:pPr>
        <w:pStyle w:val="Docdata"/>
        <w:shd w:val="clear" w:color="auto" w:fill="FFFFFF"/>
        <w:spacing w:beforeAutospacing="0" w:before="0" w:afterAutospacing="0" w:after="0"/>
        <w:ind w:left="20" w:hanging="0"/>
        <w:jc w:val="both"/>
        <w:rPr>
          <w:rStyle w:val="1879"/>
          <w:sz w:val="28"/>
          <w:szCs w:val="28"/>
        </w:rPr>
      </w:pPr>
      <w:r>
        <w:rPr>
          <w:sz w:val="28"/>
          <w:szCs w:val="28"/>
        </w:rPr>
      </w:r>
    </w:p>
    <w:p>
      <w:pPr>
        <w:pStyle w:val="Docdata"/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>10. Семьи, имеющие трех и более детей, распорядятся средствами областного материнского (семейного) капитала.</w:t>
      </w:r>
    </w:p>
    <w:p>
      <w:pPr>
        <w:pStyle w:val="Docdata"/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3380" w:type="dxa"/>
        <w:jc w:val="left"/>
        <w:tblInd w:w="25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8"/>
        <w:gridCol w:w="1462"/>
        <w:gridCol w:w="960"/>
      </w:tblGrid>
      <w:tr>
        <w:trPr>
          <w:trHeight w:val="300" w:hRule="atLeast"/>
        </w:trPr>
        <w:tc>
          <w:tcPr>
            <w:tcW w:w="958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П=</w:t>
            </w:r>
          </w:p>
        </w:tc>
        <w:tc>
          <w:tcPr>
            <w:tcW w:w="1462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С</w:t>
            </w:r>
          </w:p>
        </w:tc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, где</w:t>
            </w:r>
          </w:p>
        </w:tc>
      </w:tr>
      <w:tr>
        <w:trPr>
          <w:trHeight w:val="300" w:hRule="atLeast"/>
        </w:trPr>
        <w:tc>
          <w:tcPr>
            <w:tcW w:w="95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46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1000</w:t>
            </w:r>
          </w:p>
        </w:tc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</w:tbl>
    <w:p>
      <w:pPr>
        <w:pStyle w:val="Docdata"/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ocdata"/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>С – количество семей, имеющие трех и более детей, распорядившиеся средствами областного материнского (семейного) капитала в текущем периоде.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11. Доля граждан старше трудоспособного возраста и инвалидов, получающих услуги в организациях социального обслуживания, от общего числа граждан старше трудоспособного возраста и инвалидов.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Методика расчета показателя утверждается нормативно-правовым актом Правительства РФ.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12. 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уходе.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Методика расчета показателя утверждается нормативно-правовым актом Правительства РФ.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13. Доля лиц старше трудоспособного возраста, у которых выявлены заболевания и патологические состояния, находящихся под диспансерным наблюдением, рассчитывается следующим образом: 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2660" w:type="dxa"/>
        <w:jc w:val="left"/>
        <w:tblInd w:w="34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0"/>
        <w:gridCol w:w="959"/>
      </w:tblGrid>
      <w:tr>
        <w:trPr>
          <w:trHeight w:val="300" w:hRule="atLeast"/>
        </w:trPr>
        <w:tc>
          <w:tcPr>
            <w:tcW w:w="170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ЧДН * 100</w:t>
            </w:r>
          </w:p>
        </w:tc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17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ЧГР</w:t>
            </w:r>
          </w:p>
        </w:tc>
        <w:tc>
          <w:tcPr>
            <w:tcW w:w="9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ЧДН - число граждан старше трудоспособного возраста, у которых выявлены заболевания и патологические состояния, находящихся под диспансерным наблюдением;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br/>
        <w:t>ЧГР - число граждан старше трудоспособного возраста, у которых выявлены заболевания и патологические состояния (источником информации является информация лечебных учреждений департамента здравоохранения Брянской области).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8"/>
          <w:szCs w:val="28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14. Исполнение публичных нормативных обязательств и социальных выплат перед гражданами в рамках действующего законодательства (Ми) определяется следующим образом: </w:t>
      </w:r>
    </w:p>
    <w:tbl>
      <w:tblPr>
        <w:tblW w:w="3620" w:type="dxa"/>
        <w:jc w:val="left"/>
        <w:tblInd w:w="24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1698"/>
        <w:gridCol w:w="962"/>
      </w:tblGrid>
      <w:tr>
        <w:trPr>
          <w:trHeight w:val="300" w:hRule="atLeast"/>
        </w:trPr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Ми =</w:t>
            </w:r>
          </w:p>
        </w:tc>
        <w:tc>
          <w:tcPr>
            <w:tcW w:w="169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Мф *100%</w:t>
            </w:r>
          </w:p>
        </w:tc>
        <w:tc>
          <w:tcPr>
            <w:tcW w:w="96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69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Мо</w:t>
            </w:r>
          </w:p>
        </w:tc>
        <w:tc>
          <w:tcPr>
            <w:tcW w:w="9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Мо - общее количество граждан, обратившихся и имеющих право на получение выплат по публичным нормативным обязательствам и иным социальным выплатам (источником информации являются отчеты подведомственных учреждений);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br/>
        <w:t>Мф - общее количество граждан, которым выплаты по публичным нормативным обязательствам и иным социальным выплатам назначены в установленный законодательством срок (источником информации являются отчеты подведомственных учреждений).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15. Охват граждан старше трудоспособного возраста профилактическими осмотрами, включая диспансеризацию рассчитывается следующим образом: </w:t>
      </w:r>
    </w:p>
    <w:tbl>
      <w:tblPr>
        <w:tblW w:w="2660" w:type="dxa"/>
        <w:jc w:val="left"/>
        <w:tblInd w:w="34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0"/>
        <w:gridCol w:w="959"/>
      </w:tblGrid>
      <w:tr>
        <w:trPr>
          <w:trHeight w:val="300" w:hRule="atLeast"/>
        </w:trPr>
        <w:tc>
          <w:tcPr>
            <w:tcW w:w="170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ЧГствД * 100</w:t>
            </w:r>
          </w:p>
        </w:tc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17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ЧГств</w:t>
            </w:r>
          </w:p>
        </w:tc>
        <w:tc>
          <w:tcPr>
            <w:tcW w:w="9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ЧГствД - число граждан старше трудоспособного возраста, охваченных профилактическими осмотрами, включая диспансеризацию;</w:t>
        <w:br/>
        <w:br/>
        <w:t>ЧГств - число граждан старше трудоспособного возраста (источником информации является информация лечебных учреждений департамента здравоохранения Брянской области).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16. Уровень госпитализации на геронтологические койки лиц старше 60 лет на 10 тыс. населения соответствующего возраста рассчитывается следующим образом: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2660" w:type="dxa"/>
        <w:jc w:val="left"/>
        <w:tblInd w:w="34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0"/>
        <w:gridCol w:w="959"/>
      </w:tblGrid>
      <w:tr>
        <w:trPr>
          <w:trHeight w:val="300" w:hRule="atLeast"/>
        </w:trPr>
        <w:tc>
          <w:tcPr>
            <w:tcW w:w="170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Чг * 100</w:t>
            </w:r>
          </w:p>
        </w:tc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17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ЧГ60</w:t>
            </w:r>
          </w:p>
        </w:tc>
        <w:tc>
          <w:tcPr>
            <w:tcW w:w="9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Чг - число граждан, поступивших на геронтологические койки, чел.;</w:t>
        <w:br/>
        <w:br/>
        <w:t xml:space="preserve">ЧГ60 - численность граждан старше 60 лет, чел. </w:t>
      </w:r>
    </w:p>
    <w:p>
      <w:pPr>
        <w:pStyle w:val="Normal"/>
        <w:ind w:firstLine="851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Источником информации является информация департамента здравоохранения Брянской области. 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17.</w:t>
      </w:r>
      <w:r>
        <w:rPr/>
        <w:t xml:space="preserve"> </w:t>
      </w: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Количество государственных гражданских служащих, прошедших переподготовку и повышение квалификации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Источником информации для определения значения индикатора является Указ Губернатора Брянской области от 14.07.2014 года № 244</w:t>
      </w:r>
      <w:r>
        <w:rPr/>
        <w:t xml:space="preserve"> «</w:t>
      </w: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Об утверждении положения о реестре государственных гражданских служащих Брянской области, замещающих должности государственной гражданской службы брянской области в Брянской областной Думе, исполнительных органах государственной власти Брянской области и иных государственных органах Брянской области».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hanging="0"/>
        <w:outlineLvl w:val="0"/>
        <w:rPr>
          <w:rFonts w:ascii="Times New Roman" w:hAnsi="Times New Roman" w:eastAsia="" w:cs="Times New Roman" w:eastAsiaTheme="minorEastAsia"/>
          <w:bCs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cs="Times New Roman"/>
          <w:sz w:val="28"/>
          <w:szCs w:val="28"/>
          <w:shd w:fill="FEFEFE" w:val="clear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18. Доля негосударственных организаций социального обслуживания, социальные услуги. источником информации является реестр поставщиков, в соответствии со статьей 25 Федерального закона от 28.12.2013 года №442</w:t>
      </w:r>
      <w:r>
        <w:rPr>
          <w:rFonts w:cs="Arial" w:ascii="Arial" w:hAnsi="Arial"/>
          <w:sz w:val="30"/>
          <w:szCs w:val="30"/>
          <w:shd w:fill="FEFEFE" w:val="clear"/>
        </w:rPr>
        <w:t>-</w:t>
      </w:r>
      <w:r>
        <w:rPr>
          <w:rFonts w:cs="Times New Roman" w:ascii="Times New Roman" w:hAnsi="Times New Roman"/>
          <w:sz w:val="28"/>
          <w:szCs w:val="28"/>
          <w:shd w:fill="FEFEFE" w:val="clear"/>
        </w:rPr>
        <w:t>ФЗ «Об основах социального обслуживания граждан в Российской Федерации»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19. 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(Чд), определяется следующим образом: </w:t>
      </w:r>
    </w:p>
    <w:tbl>
      <w:tblPr>
        <w:tblW w:w="3620" w:type="dxa"/>
        <w:jc w:val="left"/>
        <w:tblInd w:w="24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1698"/>
        <w:gridCol w:w="962"/>
      </w:tblGrid>
      <w:tr>
        <w:trPr>
          <w:trHeight w:val="300" w:hRule="atLeast"/>
        </w:trPr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Чд =</w:t>
            </w:r>
          </w:p>
        </w:tc>
        <w:tc>
          <w:tcPr>
            <w:tcW w:w="1698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Чдвс * 100%</w:t>
            </w:r>
          </w:p>
        </w:tc>
        <w:tc>
          <w:tcPr>
            <w:tcW w:w="96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где:</w:t>
            </w:r>
          </w:p>
        </w:tc>
      </w:tr>
      <w:tr>
        <w:trPr>
          <w:trHeight w:val="300" w:hRule="atLeast"/>
        </w:trPr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69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Дипр</w:t>
            </w:r>
          </w:p>
        </w:tc>
        <w:tc>
          <w:tcPr>
            <w:tcW w:w="9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Чдвс - число детей-сирот, воспитывающихся в семьях (источником информации являются отчеты муниципальных органов опеки и попечительства);</w:t>
        <w:br/>
        <w:br/>
        <w:t>Очдс - общее число детей-сирот в регионе (источником информации являются отчеты муниципальных органов опеки и попечительства).</w:t>
        <w:br/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20. Доля детей-сирот и детей, оставшихся без попечения родителей, а также лиц из их числа, обеспеченных жилыми помещениями (Дд), определяется следующим образом: 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3620" w:type="dxa"/>
        <w:jc w:val="left"/>
        <w:tblInd w:w="24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1698"/>
        <w:gridCol w:w="962"/>
      </w:tblGrid>
      <w:tr>
        <w:trPr>
          <w:trHeight w:val="300" w:hRule="atLeast"/>
        </w:trPr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Дд =</w:t>
            </w:r>
          </w:p>
        </w:tc>
        <w:tc>
          <w:tcPr>
            <w:tcW w:w="169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Дпж * 100%</w:t>
            </w:r>
          </w:p>
        </w:tc>
        <w:tc>
          <w:tcPr>
            <w:tcW w:w="96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где:</w:t>
            </w:r>
          </w:p>
        </w:tc>
      </w:tr>
      <w:tr>
        <w:trPr>
          <w:trHeight w:val="300" w:hRule="atLeast"/>
        </w:trPr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69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Дипр</w:t>
            </w:r>
          </w:p>
        </w:tc>
        <w:tc>
          <w:tcPr>
            <w:tcW w:w="9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Дпж - общее число детей-сирот, обеспеченных жилыми помещениями (источником информации являются отчеты муниципальных органов опеки и попечительства);</w:t>
        <w:br/>
        <w:br/>
        <w:t>Дипр – число детей-сирот, у которых наступило право на обеспечение жилым помещением по состоянию на 1 января текущего года (берется из уточненного списка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подлежащих обеспечению жилыми помещениями по состоянию на 1 января текущего года, который формируется в соответствии с постановлением Правительства Брянской области от 19 августа 2019 г. № 362-п «Об отдельных вопросах формирования и ведения списка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помещениями, исключения детей-сирот и детей, оставшихся без попечения родителей, лиц из числа детей-сирот и детей, оставшихся без попечения родителей, из списка и включения в список при перемене места жительства»).</w:t>
      </w:r>
    </w:p>
    <w:p>
      <w:pPr>
        <w:pStyle w:val="Normal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21. Доля лиц из числа детей-сирот, детей, оставшихся без попечения родителей, у которых наступило право на обеспечение жилыми помещениями и не реализовано (Дпож), определяется следующим образом: 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3620" w:type="dxa"/>
        <w:jc w:val="left"/>
        <w:tblInd w:w="24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1698"/>
        <w:gridCol w:w="962"/>
      </w:tblGrid>
      <w:tr>
        <w:trPr>
          <w:trHeight w:val="300" w:hRule="atLeast"/>
        </w:trPr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Дпож =</w:t>
            </w:r>
          </w:p>
        </w:tc>
        <w:tc>
          <w:tcPr>
            <w:tcW w:w="169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Чпн * 100%</w:t>
            </w:r>
          </w:p>
        </w:tc>
        <w:tc>
          <w:tcPr>
            <w:tcW w:w="96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69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Чвс</w:t>
            </w:r>
          </w:p>
        </w:tc>
        <w:tc>
          <w:tcPr>
            <w:tcW w:w="9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Чнп - общее число детей-сирот, у которых наступило право на жилое помещение (источником информации являются отчеты муниципальных органов опеки и попечительства);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br/>
        <w:t>Чвс - число детей, которые включены в сводный список детей-сирот и детей, оставшихся без попечения родителей, нуждающихся в жилых помещениях (источником информации является сводный список детей-сирот, детей, оставшихся без попечения родителей, и лиц из их числа, нуждающихся в обеспечении жилыми помещениями).</w:t>
        <w:br/>
        <w:br/>
        <w:t>22. Доля перевезенных несовершеннолетних, самовольно ушедших из семей, детских домов, школ-интернатов, специальных учебно-воспитательных и иных детских учреждений, в общей численности несовершеннолетних, нуждающихся в перевозке с места постоянного проживания (Дпн), определяется следующим образом: 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3620" w:type="dxa"/>
        <w:jc w:val="left"/>
        <w:tblInd w:w="24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1698"/>
        <w:gridCol w:w="962"/>
      </w:tblGrid>
      <w:tr>
        <w:trPr>
          <w:trHeight w:val="300" w:hRule="atLeast"/>
        </w:trPr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Дпн =</w:t>
            </w:r>
          </w:p>
        </w:tc>
        <w:tc>
          <w:tcPr>
            <w:tcW w:w="169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ПН *100%</w:t>
            </w:r>
          </w:p>
        </w:tc>
        <w:tc>
          <w:tcPr>
            <w:tcW w:w="96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69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</w:t>
            </w:r>
          </w:p>
        </w:tc>
        <w:tc>
          <w:tcPr>
            <w:tcW w:w="9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ПН - количество перевезенных несовершеннолетних, самовольно ушедших из семей, детских домов, школ-интернатов, специальных учебно-воспитательных и иных детских учреждений (источником информации являются отчеты подведомственных учреждений);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br/>
        <w:t>О - общая численность несовершеннолетних, нуждающихся в перевозке в места постоянного проживания (источником информации являются отчеты подведомственных учреждений).</w:t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br/>
        <w:t>23.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году.</w:t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Источником информации для определения значения индикатора являются отчеты муниципальных органов опеки и попечительства о численности лиц, обеспеченных жилыми помещениями по договорам найма специализированных жилых помещений в отчетном финансовом году.</w:t>
        <w:br/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24.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за счет средств субсидии из федерального бюджета (нарастающим итогом).</w:t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Источником информации для определения значения индикатора являются годовые отчеты муниципальных органов опеки и попечительства о численности лиц, обеспеченных жилыми помещениями по договорам найма специализированных жилых помещений за счет средств субсидии из федерального бюджета. </w:t>
      </w:r>
    </w:p>
    <w:p>
      <w:pPr>
        <w:pStyle w:val="Normal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25. Количество мероприятий, проводимых в целях повышения социального статуса семьи и укрепления семейных ценностей. </w:t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Источником информации является отчет о проведении мероприятия.</w:t>
        <w:br/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Доля граждан, охваченных государственной социальной помощью на основании социального контракта, в общей численности малоимущих граждан, определяется следующим образом:</w:t>
      </w:r>
    </w:p>
    <w:p>
      <w:pPr>
        <w:pStyle w:val="ListParagraph"/>
        <w:spacing w:lineRule="auto" w:line="240" w:before="0" w:after="0"/>
        <w:ind w:left="851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4453" w:type="dxa"/>
        <w:jc w:val="left"/>
        <w:tblInd w:w="176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02"/>
        <w:gridCol w:w="2247"/>
        <w:gridCol w:w="1104"/>
      </w:tblGrid>
      <w:tr>
        <w:trPr>
          <w:trHeight w:val="356" w:hRule="atLeast"/>
        </w:trPr>
        <w:tc>
          <w:tcPr>
            <w:tcW w:w="110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СКох  =</w:t>
            </w:r>
          </w:p>
        </w:tc>
        <w:tc>
          <w:tcPr>
            <w:tcW w:w="2247" w:type="dxa"/>
            <w:tcBorders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СК *100%</w:t>
            </w:r>
          </w:p>
        </w:tc>
        <w:tc>
          <w:tcPr>
            <w:tcW w:w="1104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 где:</w:t>
            </w:r>
          </w:p>
        </w:tc>
      </w:tr>
      <w:tr>
        <w:trPr>
          <w:trHeight w:val="339" w:hRule="atLeast"/>
        </w:trPr>
        <w:tc>
          <w:tcPr>
            <w:tcW w:w="110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24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МГ</w:t>
            </w:r>
          </w:p>
        </w:tc>
        <w:tc>
          <w:tcPr>
            <w:tcW w:w="110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СК -  общая численность граждан, охваченных государственной социальной помощью на основании социального контракта;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МГ – численность малоимущих граждан.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превысил величину прожиточного минимума, установленную в субъекте Российской Федерации, по окончании срока действия социального контракта в общей численности граждан, охваченных государственной социальной помощью на основании социального контракта, определяется следующим образом:</w:t>
      </w:r>
    </w:p>
    <w:p>
      <w:pPr>
        <w:pStyle w:val="ListParagraph"/>
        <w:spacing w:lineRule="auto" w:line="240" w:before="0" w:after="0"/>
        <w:ind w:left="709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tbl>
      <w:tblPr>
        <w:tblW w:w="4453" w:type="dxa"/>
        <w:jc w:val="left"/>
        <w:tblInd w:w="176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02"/>
        <w:gridCol w:w="2247"/>
        <w:gridCol w:w="1104"/>
      </w:tblGrid>
      <w:tr>
        <w:trPr>
          <w:trHeight w:val="356" w:hRule="atLeast"/>
        </w:trPr>
        <w:tc>
          <w:tcPr>
            <w:tcW w:w="110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СКпр  =</w:t>
            </w:r>
          </w:p>
        </w:tc>
        <w:tc>
          <w:tcPr>
            <w:tcW w:w="2247" w:type="dxa"/>
            <w:tcBorders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СКпр *100%</w:t>
            </w:r>
          </w:p>
        </w:tc>
        <w:tc>
          <w:tcPr>
            <w:tcW w:w="1104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 где:</w:t>
            </w:r>
          </w:p>
        </w:tc>
      </w:tr>
      <w:tr>
        <w:trPr>
          <w:trHeight w:val="339" w:hRule="atLeast"/>
        </w:trPr>
        <w:tc>
          <w:tcPr>
            <w:tcW w:w="110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24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СК</w:t>
            </w:r>
          </w:p>
        </w:tc>
        <w:tc>
          <w:tcPr>
            <w:tcW w:w="110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СКпр – численность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превысил величину прожиточного минимума, установленную в субъекте Российской Федерации;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СК – общая численность граждан, охваченных государственной социальной помощью на основании социального контракта.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увеличился по окончании срока действия социального контракта в сравнении со среднедушевым доходом этих граждан (семьи) до заключения социального контракта, в общей численности граждан, охваченных государственной социальной помощью на основании социального контракта, определяется следующим образом:</w:t>
      </w:r>
    </w:p>
    <w:p>
      <w:pPr>
        <w:pStyle w:val="ListParagraph"/>
        <w:spacing w:lineRule="auto" w:line="240" w:before="0" w:after="0"/>
        <w:ind w:left="709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3880" w:type="dxa"/>
        <w:jc w:val="left"/>
        <w:tblInd w:w="176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9"/>
        <w:gridCol w:w="1961"/>
        <w:gridCol w:w="960"/>
      </w:tblGrid>
      <w:tr>
        <w:trPr>
          <w:trHeight w:val="315" w:hRule="atLeast"/>
        </w:trPr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СКув  =</w:t>
            </w:r>
          </w:p>
        </w:tc>
        <w:tc>
          <w:tcPr>
            <w:tcW w:w="1961" w:type="dxa"/>
            <w:tcBorders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СКувз *100%</w:t>
            </w:r>
          </w:p>
        </w:tc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 где :</w:t>
            </w:r>
          </w:p>
        </w:tc>
      </w:tr>
      <w:tr>
        <w:trPr>
          <w:trHeight w:val="300" w:hRule="atLeast"/>
        </w:trPr>
        <w:tc>
          <w:tcPr>
            <w:tcW w:w="9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9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СК</w:t>
            </w:r>
          </w:p>
        </w:tc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СКувз – численность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увеличился по окончании срока действия социального контракта в сравнении со среднедушевым доходом этих граждан (семьи) до заключения социального контракта;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СК – общая численность граждан, охваченных государственной социальной помощью на основании социального контракта.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29. Доля граждан, получающих субсидии на оплату жилого помещения и коммунальных услуг, от общей численности населения (Ед) определяется следующим образом: 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3620" w:type="dxa"/>
        <w:jc w:val="left"/>
        <w:tblInd w:w="24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1698"/>
        <w:gridCol w:w="962"/>
      </w:tblGrid>
      <w:tr>
        <w:trPr>
          <w:trHeight w:val="300" w:hRule="atLeast"/>
        </w:trPr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Ед=</w:t>
            </w:r>
          </w:p>
        </w:tc>
        <w:tc>
          <w:tcPr>
            <w:tcW w:w="169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Ео * 100%</w:t>
            </w:r>
          </w:p>
        </w:tc>
        <w:tc>
          <w:tcPr>
            <w:tcW w:w="96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69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Es</w:t>
            </w:r>
          </w:p>
        </w:tc>
        <w:tc>
          <w:tcPr>
            <w:tcW w:w="9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Ео - количество получателей субсидии на оплату жилого помещения и коммунальных услуг (с учетом членов семьи) (источником информации являются отчеты подведомственных учреждений);</w:t>
        <w:br/>
        <w:br/>
        <w:t>Еs - общая численность населения региона (источником информации являются официальные данные Брянскстата на 1 января текущего года).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30. Доля получателей выплат, пособий и иных форм социальной поддержки, решение о предоставлении поддержки которым осуществляется с учетом нуждаемости в соответствии с утвержденным нормативным правовым актом (Пд), определяется следующим образом: </w:t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3620" w:type="dxa"/>
        <w:jc w:val="left"/>
        <w:tblInd w:w="24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1698"/>
        <w:gridCol w:w="962"/>
      </w:tblGrid>
      <w:tr>
        <w:trPr>
          <w:trHeight w:val="300" w:hRule="atLeast"/>
        </w:trPr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Пд=</w:t>
            </w:r>
          </w:p>
        </w:tc>
        <w:tc>
          <w:tcPr>
            <w:tcW w:w="169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Пв * 100%</w:t>
            </w:r>
          </w:p>
        </w:tc>
        <w:tc>
          <w:tcPr>
            <w:tcW w:w="96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69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Пва</w:t>
            </w:r>
          </w:p>
        </w:tc>
        <w:tc>
          <w:tcPr>
            <w:tcW w:w="9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Пв - количество получателей выплат, пособий и иных форм социальной поддержки, решение о предоставлении поддержки которым осуществляется с учетом нуждаемости в соответствии с утвержденным нормативным правовым актом, обратившихся за получением выплат, пособий и иных форм социальной поддержки (источником информации является федеральный статистический отчет. Форма N 1 "Пособие" из АСП "Тула");</w:t>
        <w:br/>
        <w:br/>
        <w:t>Пва - общее количество получателей выплат, пособий и иных форм социальной поддержки, обратившихся за получением выплат, пособий и иных форм социальной поддержки (источником информации является федеральный статистический отчет. Форма N 1 "Пособие" из АСП "Тула").</w:t>
        <w:br/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31. Исполнение публичных нормативных обязательств и социальных выплат перед гражданами в рамках действующего законодательства (Ми) определяется следующим образом: </w:t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3620" w:type="dxa"/>
        <w:jc w:val="left"/>
        <w:tblInd w:w="24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1698"/>
        <w:gridCol w:w="962"/>
      </w:tblGrid>
      <w:tr>
        <w:trPr>
          <w:trHeight w:val="300" w:hRule="atLeast"/>
        </w:trPr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Ми =</w:t>
            </w:r>
          </w:p>
        </w:tc>
        <w:tc>
          <w:tcPr>
            <w:tcW w:w="169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Мф *100%</w:t>
            </w:r>
          </w:p>
        </w:tc>
        <w:tc>
          <w:tcPr>
            <w:tcW w:w="96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69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Мо</w:t>
            </w:r>
          </w:p>
        </w:tc>
        <w:tc>
          <w:tcPr>
            <w:tcW w:w="9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Мо - общее количество граждан, обратившихся и имеющих право на получение выплат по публичным нормативным обязательствам и иным социальным выплатам (источником информации являются отчеты подведомственных учреждений);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br/>
        <w:t>Мф - общее количество граждан, которым выплаты по публичным нормативным обязательствам и иным социальным выплатам назначены в установленный законодательством срок (источником информации являются отчеты подведомственных учреждений).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32.</w:t>
      </w:r>
      <w:r>
        <w:rPr>
          <w:rFonts w:ascii="Times New Roman" w:hAnsi="Times New Roman"/>
          <w:sz w:val="28"/>
          <w:szCs w:val="28"/>
        </w:rPr>
        <w:t xml:space="preserve"> Численность населения с денежными доходами ниже величины прожиточного минимума.</w:t>
      </w:r>
    </w:p>
    <w:p>
      <w:pPr>
        <w:pStyle w:val="Normal"/>
        <w:spacing w:before="0" w:after="0"/>
        <w:jc w:val="both"/>
        <w:rPr>
          <w:rFonts w:ascii="Arial" w:hAnsi="Arial" w:cs="Arial"/>
          <w:b/>
          <w:b/>
          <w:bCs/>
          <w:sz w:val="42"/>
          <w:szCs w:val="42"/>
          <w:shd w:fill="FFFFFF" w:val="clear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Значение указанного целевого индикатора предоставляется на основе данных федеральной службы государственной статистики Российской Федерации.</w:t>
      </w:r>
      <w:r>
        <w:rPr>
          <w:rFonts w:cs="Arial" w:ascii="Arial" w:hAnsi="Arial"/>
          <w:b/>
          <w:bCs/>
          <w:sz w:val="42"/>
          <w:szCs w:val="42"/>
          <w:shd w:fill="FFFFFF" w:val="clear"/>
        </w:rPr>
        <w:t xml:space="preserve"> 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33. Доля граждан старшего поколения, занимающихся физической культурой и спортом, к общей численности населения в данной возрастной группе, проживающего на территории Брянской области рассчитывается следующим образом: 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2660" w:type="dxa"/>
        <w:jc w:val="left"/>
        <w:tblInd w:w="29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0"/>
        <w:gridCol w:w="959"/>
      </w:tblGrid>
      <w:tr>
        <w:trPr>
          <w:trHeight w:val="300" w:hRule="atLeast"/>
        </w:trPr>
        <w:tc>
          <w:tcPr>
            <w:tcW w:w="170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ЧДН*100</w:t>
            </w:r>
          </w:p>
        </w:tc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17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ЧГР</w:t>
            </w:r>
          </w:p>
        </w:tc>
        <w:tc>
          <w:tcPr>
            <w:tcW w:w="9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ЧДН - число граждан старшего возраста (женщины 55 - 79 лет; мужчины 60 - 79 лет), проживающие в регионе;</w:t>
      </w:r>
    </w:p>
    <w:p>
      <w:pPr>
        <w:pStyle w:val="Normal"/>
        <w:jc w:val="both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br/>
        <w:t>ЧГР - число граждан старшего возраста (женщины 55 - 79 лет; мужчины 60 - 79 лет), систематически занимающихся физической культурой и спортом Источником информации является информация спортивных учреждений управления физической культуры и спорта Брянской области.</w:t>
        <w:br/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34. Доля лиц старше трудоспособного возраста, признанных нуждающимися в социальном обслуживании, включенных в систему долговременного ухода рассчитывается следующим образом: 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2660" w:type="dxa"/>
        <w:jc w:val="left"/>
        <w:tblInd w:w="34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0"/>
        <w:gridCol w:w="959"/>
      </w:tblGrid>
      <w:tr>
        <w:trPr>
          <w:trHeight w:val="300" w:hRule="atLeast"/>
        </w:trPr>
        <w:tc>
          <w:tcPr>
            <w:tcW w:w="170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Чств * 100</w:t>
            </w:r>
          </w:p>
        </w:tc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17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Чсду</w:t>
            </w:r>
          </w:p>
        </w:tc>
        <w:tc>
          <w:tcPr>
            <w:tcW w:w="9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Чств - число граждан старше трудоспособного возраста, проживающих в муниципальном образовании, регионе;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br/>
        <w:t>Чсду - число граждан старшего возраста старше трудоспособного возраста, включенных в систему долговременного ухода, признанных нуждающимися в социальном обслуживании (источником информации является информация социальных учреждений департамента семьи, социальной и демографической политики Брянской области).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35. Количество муниципальных образований Брянской области, в которых реализуется система долговременного ухода.</w:t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Источником информации являются данные мониторинга департамента семьи, социальной и демографической политики Брянской области.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br/>
      </w:r>
      <w:r>
        <w:rPr>
          <w:rFonts w:cs="Times New Roman" w:ascii="Times New Roman" w:hAnsi="Times New Roman"/>
          <w:sz w:val="28"/>
          <w:szCs w:val="28"/>
        </w:rPr>
        <w:t xml:space="preserve">36. </w:t>
      </w:r>
      <w:r>
        <w:rPr>
          <w:rFonts w:ascii="Times New Roman" w:hAnsi="Times New Roman"/>
          <w:sz w:val="28"/>
          <w:szCs w:val="28"/>
        </w:rPr>
        <w:t xml:space="preserve">Обеспеченность субсидией </w:t>
      </w: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определяется следующим образом: </w:t>
      </w:r>
    </w:p>
    <w:tbl>
      <w:tblPr>
        <w:tblW w:w="3443" w:type="dxa"/>
        <w:jc w:val="left"/>
        <w:tblInd w:w="25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78"/>
        <w:gridCol w:w="1486"/>
        <w:gridCol w:w="979"/>
      </w:tblGrid>
      <w:tr>
        <w:trPr>
          <w:trHeight w:val="235" w:hRule="atLeast"/>
        </w:trPr>
        <w:tc>
          <w:tcPr>
            <w:tcW w:w="978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Ос =</w:t>
            </w:r>
          </w:p>
        </w:tc>
        <w:tc>
          <w:tcPr>
            <w:tcW w:w="1486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Vвыд. * 100</w:t>
            </w:r>
          </w:p>
        </w:tc>
        <w:tc>
          <w:tcPr>
            <w:tcW w:w="97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, где</w:t>
            </w:r>
          </w:p>
        </w:tc>
      </w:tr>
      <w:tr>
        <w:trPr>
          <w:trHeight w:val="235" w:hRule="atLeast"/>
        </w:trPr>
        <w:tc>
          <w:tcPr>
            <w:tcW w:w="97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48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V изр.</w:t>
            </w:r>
          </w:p>
        </w:tc>
        <w:tc>
          <w:tcPr>
            <w:tcW w:w="97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  <w:tr>
        <w:trPr>
          <w:trHeight w:val="235" w:hRule="atLeast"/>
        </w:trPr>
        <w:tc>
          <w:tcPr>
            <w:tcW w:w="97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48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97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Vвыд – объем выделенной субсидии на компенсацию отдельным категориям граждан оплаты взноса на капитальный ремонт общего имущества в многоквартирном доме, выделенном из федерального бюджета бюджету Брянской области в текущем финансовом году;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V изр. – объем израсходованной субсидии на компенсацию отдельным категориям граждан оплаты взноса на капитальный ремонт общего имущества в многоквартирном доме, выделенной из федерального бюджета бюджету Брянской области в текущем финансовом году.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37. Количество совершенных юридически значимых действий.</w:t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Источником информации для определения значения индикатора является форма статистической отчетности N 26, утвержденная </w:t>
      </w:r>
      <w:hyperlink r:id="rId3">
        <w:r>
          <w:rPr>
            <w:rFonts w:eastAsia="Times New Roman" w:cs="Times New Roman" w:ascii="Times New Roman" w:hAnsi="Times New Roman"/>
            <w:spacing w:val="2"/>
            <w:sz w:val="28"/>
            <w:szCs w:val="28"/>
            <w:lang w:eastAsia="ru-RU"/>
          </w:rPr>
          <w:t>Приказом Министерства юстиции Российской Федерации от 28 августа 2008 года N 189 "Об утверждении форм статистической отчетности Министерства юстиции Российской Федерации о государственной регистрации актов гражданского состояния"</w:t>
        </w:r>
      </w:hyperlink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38. Доля молодых семей, получивших свидетельство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 (по состоянию на 01.01.2017) определяется следующим образом: 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4060" w:type="dxa"/>
        <w:jc w:val="left"/>
        <w:tblInd w:w="22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0"/>
        <w:gridCol w:w="2138"/>
        <w:gridCol w:w="962"/>
      </w:tblGrid>
      <w:tr>
        <w:trPr>
          <w:trHeight w:val="300" w:hRule="atLeast"/>
        </w:trPr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Дмс =</w:t>
            </w:r>
          </w:p>
        </w:tc>
        <w:tc>
          <w:tcPr>
            <w:tcW w:w="213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Кмс *100%</w:t>
            </w:r>
          </w:p>
        </w:tc>
        <w:tc>
          <w:tcPr>
            <w:tcW w:w="96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Омс</w:t>
            </w:r>
          </w:p>
        </w:tc>
        <w:tc>
          <w:tcPr>
            <w:tcW w:w="9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Кмс - количество молодых семей, получивших свидетельство о праве на получение социальной выплаты на приобретение (строительство) жилого помещения в отчетном периоде;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br/>
        <w:t>Омс - общее количество молодых семей, состоявших на учете в качестве нуждающихся в улучшении жилищных условий, определяется аналогично государственной программе Российской Федерации "Обеспечение доступным и комфортным жильем и коммунальными услугами граждан Российской Федерации" и имеющимся статистическим данным на момент принятия подпрограммы.</w:t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39. Количество молодых семей, получивших свидетельство о праве на получение социальной выплаты на приобретение (строительство) жилого помещения.</w:t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Значение указанного целевого индикатора определяется как количество выданных на территории области свидетельств о праве на получение социальной выплаты, выданных в рамках подпрограммы "Обеспечение жильем молодых семей в Брянской области", на основе данных официальной отчетности и мониторинга.</w:t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40. Доля предписаний об устранении нарушений законодательства Российской Федерации, внесенных территориальным органом Министерства юстиции Российской Федерации, в общем количестве проведенных проверок за отчетный период (C) определяется следующим образом: 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4120" w:type="dxa"/>
        <w:jc w:val="left"/>
        <w:tblInd w:w="22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9"/>
        <w:gridCol w:w="1241"/>
        <w:gridCol w:w="960"/>
        <w:gridCol w:w="959"/>
      </w:tblGrid>
      <w:tr>
        <w:trPr>
          <w:trHeight w:val="300" w:hRule="atLeast"/>
        </w:trPr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 =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D</w:t>
            </w:r>
          </w:p>
        </w:tc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*100%</w:t>
            </w:r>
          </w:p>
        </w:tc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9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F</w:t>
            </w:r>
          </w:p>
        </w:tc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val="en-US"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val="en-US"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D - количество предписаний об устранении нарушений законодательства Российской Федерации, внесенных территориальным органом Министерства юстиции Российской Федерации, в отчетном периоде;</w:t>
        <w:br/>
        <w:br/>
        <w:t>F - общее количество проверок, проведенных территориальным органом Министерства юстиции Российской Федерации.</w:t>
        <w:br/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Источником информации для определения значения индикатора являются данные Приказа Министерства юстиции Российской Федерации от 20.11.2012 года № 212 «Об утверждении административного регламента исполнения Министерством юстиции Российской Федерации государственной функции по осуществлению контроля и надзора в сфере государственной регистрации актов гражданского состояния.</w:t>
        <w:br/>
        <w:br/>
        <w:t>41. Уровень удовлетворенности населения услугами в сфере государственной регистрации актов гражданского состояния (X) определяется следующим образом: 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tbl>
      <w:tblPr>
        <w:tblW w:w="4120" w:type="dxa"/>
        <w:jc w:val="left"/>
        <w:tblInd w:w="22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9"/>
        <w:gridCol w:w="1241"/>
        <w:gridCol w:w="960"/>
        <w:gridCol w:w="959"/>
      </w:tblGrid>
      <w:tr>
        <w:trPr>
          <w:trHeight w:val="300" w:hRule="atLeast"/>
        </w:trPr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Х =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А</w:t>
            </w:r>
          </w:p>
        </w:tc>
        <w:tc>
          <w:tcPr>
            <w:tcW w:w="96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*100%</w:t>
            </w:r>
          </w:p>
        </w:tc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где :</w:t>
            </w:r>
          </w:p>
        </w:tc>
      </w:tr>
      <w:tr>
        <w:trPr>
          <w:trHeight w:val="300" w:hRule="atLeast"/>
        </w:trPr>
        <w:tc>
          <w:tcPr>
            <w:tcW w:w="9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</w:t>
            </w:r>
          </w:p>
        </w:tc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val="en-US"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val="en-US"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A - количество граждан из числа опрошенных, удовлетворенных услугами в сфере государственной регистрации актов гражданского состояния;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B - общее количество опрошенных граждан.</w:t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Исходные данные для расчета значений показателей (индикаторов), характеризующих конечные результаты реализации государственной программы и подпрограмм, определяются на основе данных официальной отчетности и мониторинга, размещенных на сайте департамента (</w:t>
      </w:r>
      <w:hyperlink r:id="rId4">
        <w:r>
          <w:rPr>
            <w:rFonts w:eastAsia="Times New Roman" w:cs="Times New Roman" w:ascii="Times New Roman" w:hAnsi="Times New Roman"/>
            <w:color w:val="auto"/>
            <w:spacing w:val="2"/>
            <w:sz w:val="28"/>
            <w:szCs w:val="28"/>
            <w:lang w:eastAsia="ru-RU"/>
          </w:rPr>
          <w:t>www.uszN032.ru</w:t>
        </w:r>
      </w:hyperlink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).</w:t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2D2D2D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ind w:firstLine="851"/>
        <w:jc w:val="both"/>
        <w:textAlignment w:val="baseline"/>
        <w:rPr>
          <w:rFonts w:ascii="Times New Roman" w:hAnsi="Times New Roman" w:eastAsia="Times New Roman" w:cs="Times New Roman"/>
          <w:color w:val="2D2D2D"/>
          <w:spacing w:val="2"/>
          <w:sz w:val="28"/>
          <w:szCs w:val="28"/>
          <w:lang w:eastAsia="ru-RU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 CYR"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26"/>
      <w:numFmt w:val="decimal"/>
      <w:lvlText w:val="%1."/>
      <w:lvlJc w:val="left"/>
      <w:pPr>
        <w:tabs>
          <w:tab w:val="num" w:pos="0"/>
        </w:tabs>
        <w:ind w:left="37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92be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992bed"/>
    <w:rPr>
      <w:rFonts w:ascii="Tahoma" w:hAnsi="Tahoma" w:cs="Tahoma"/>
      <w:sz w:val="16"/>
      <w:szCs w:val="16"/>
    </w:rPr>
  </w:style>
  <w:style w:type="character" w:styleId="1879" w:customStyle="1">
    <w:name w:val="1879"/>
    <w:qFormat/>
    <w:rsid w:val="001e6052"/>
    <w:rPr/>
  </w:style>
  <w:style w:type="character" w:styleId="Style15">
    <w:name w:val="Интернет-ссылка"/>
    <w:basedOn w:val="DefaultParagraphFont"/>
    <w:uiPriority w:val="99"/>
    <w:unhideWhenUsed/>
    <w:rsid w:val="007032ff"/>
    <w:rPr>
      <w:color w:val="0000FF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992be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Docdata" w:customStyle="1">
    <w:name w:val="docdata"/>
    <w:basedOn w:val="Normal"/>
    <w:qFormat/>
    <w:rsid w:val="001e6052"/>
    <w:pPr>
      <w:spacing w:lineRule="auto" w:line="240" w:beforeAutospacing="1" w:afterAutospacing="1"/>
    </w:pPr>
    <w:rPr>
      <w:rFonts w:ascii="Times New Roman" w:hAnsi="Times New Roman" w:eastAsia="" w:cs="Times New Roman" w:eastAsiaTheme="minorEastAsia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df0b95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docs.cntd.ru/document/902118957" TargetMode="External"/><Relationship Id="rId3" Type="http://schemas.openxmlformats.org/officeDocument/2006/relationships/hyperlink" Target="http://docs.cntd.ru/document/902118957" TargetMode="External"/><Relationship Id="rId4" Type="http://schemas.openxmlformats.org/officeDocument/2006/relationships/hyperlink" Target="http://www.uszN032.ru/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Application>LibreOffice/7.0.1.2$Windows_X86_64 LibreOffice_project/7cbcfc562f6eb6708b5ff7d7397325de9e764452</Application>
  <Pages>10</Pages>
  <Words>2820</Words>
  <Characters>20183</Characters>
  <CharactersWithSpaces>23044</CharactersWithSpaces>
  <Paragraphs>212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2021-03-22T11:43:00Z</dcterms:created>
  <dc:creator>Гладченкова Юлия Сергеевна</dc:creator>
  <dc:description/>
  <dc:language>ru-RU</dc:language>
  <cp:lastModifiedBy/>
  <cp:lastPrinted>2020-12-25T06:23:00Z</cp:lastPrinted>
  <dcterms:modified xsi:type="dcterms:W3CDTF">2021-10-25T16:58:49Z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